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23240A">
        <w:rPr>
          <w:b/>
          <w:color w:val="000000"/>
          <w:sz w:val="28"/>
          <w:szCs w:val="28"/>
        </w:rPr>
        <w:t>9</w:t>
      </w: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>. Порядок направления гражданином - бывшим государственным (муниципальным) служащим обращения о даче согласия на трудоустройство.</w:t>
            </w:r>
            <w:r w:rsidR="00BA488E">
              <w:rPr>
                <w:sz w:val="26"/>
                <w:szCs w:val="26"/>
              </w:rPr>
              <w:t>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V. Направление обращения в случае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VI. Рассмотрение обращения на заседании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…………………………..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583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 xml:space="preserve">от </w:t>
            </w:r>
            <w:r w:rsidR="00583FFF">
              <w:rPr>
                <w:sz w:val="26"/>
                <w:szCs w:val="26"/>
              </w:rPr>
              <w:t>15</w:t>
            </w:r>
            <w:r w:rsidRPr="00BA488E">
              <w:rPr>
                <w:sz w:val="26"/>
                <w:szCs w:val="26"/>
              </w:rPr>
              <w:t> </w:t>
            </w:r>
            <w:r w:rsidR="00445069">
              <w:rPr>
                <w:sz w:val="26"/>
                <w:szCs w:val="26"/>
              </w:rPr>
              <w:t>октя</w:t>
            </w:r>
            <w:r w:rsidRPr="00BA488E">
              <w:rPr>
                <w:sz w:val="26"/>
                <w:szCs w:val="26"/>
              </w:rPr>
              <w:t>бря 201</w:t>
            </w:r>
            <w:r w:rsidR="00583FFF">
              <w:rPr>
                <w:sz w:val="26"/>
                <w:szCs w:val="26"/>
              </w:rPr>
              <w:t>9</w:t>
            </w:r>
            <w:r w:rsidRPr="00BA488E">
              <w:rPr>
                <w:sz w:val="26"/>
                <w:szCs w:val="26"/>
              </w:rPr>
              <w:t> г. № </w:t>
            </w:r>
            <w:r w:rsidR="00445069">
              <w:rPr>
                <w:sz w:val="26"/>
                <w:szCs w:val="26"/>
              </w:rPr>
              <w:t>6</w:t>
            </w:r>
            <w:r w:rsidR="00583FFF">
              <w:rPr>
                <w:sz w:val="26"/>
                <w:szCs w:val="26"/>
              </w:rPr>
              <w:t>69</w:t>
            </w:r>
            <w:r w:rsidRPr="00BA488E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………………………………………………………..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возникновении конфликта интересов при исполнении должностных обязанностей, обусловленного возможностью предоставления выгод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ств дл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>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гражданин)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которым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гражданин планирует заключить или заключил трудовой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1) нахождение должности, которую замещал гражданин, в перечне, установленном нормативными правовыми актами Российской Федерации</w:t>
      </w:r>
      <w:proofErr w:type="gramStart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имуществе и обязательствах имущественного характера, а также сведения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обязательствах имущественного характера своих супруги (супруга)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несовершеннолетних детей, утвержденный руководителем федерального государственного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органа в соответствии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федеральных государственных органов, государственных органов субъектов Российской Федерации, органов местного самоуправления.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он трудоустраивается, то он обязан получить согласие комиссии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3) прошло менее двух лет со дня увольнения гражданина </w:t>
      </w:r>
      <w:r w:rsidR="001C363C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Период, в течение которого действуют установленные статьей 12 Федерального закона № 273-ФЗ ограничения, начинается со дня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в течение двух лет с момента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 урегулированию конфликта интересов, утвержденным Указом Президента Российской Федерации от 1 июля 2010 г.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(далее - Положение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комиссиях, Указ №</w:t>
      </w:r>
      <w:r w:rsidR="008C7BD6"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служащих) и урегулированию конфликта интересов и руководствоваться Указом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 при разработке названных положений).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12. Первоначальное рассмотрение обращения осуществляется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подразделении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14. Обращение гражданина, а также мотивированное заключение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другие материалы в течение семи рабочих дней со дня поступления обращения представляются председателю комиссии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15. При проведении собеседования и получении письменных пояснений может быть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рекомендовано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17. В случае направления запросов обращение, а также мотивированное заключение и другие материалы представляются председателю комиссии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45 дней со дня поступления обращения. Указанный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преимуществ. Рекомендуется подробно проанализировать, в чем заключались данные функции,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уточнив при необходимости по каким вопросам деятельности данной организации были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лицензирования отдельных видов деятельности, выдачи разрешений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Следует обратить внимание на круг трудовых обязанностей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20.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21.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государственной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организует ознакомление гражданина - бывшего государственного (муниципального) служащего, членов комиссии и других лиц, участвующих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по профилактике коррупционных и иных правонарушений, и с результатами ее проверки;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возможности или невозможности дачи гражданину согласия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V. Направление обращения в случае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государственного (муниципального) органа, в котором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25. В случае упразднения федерального (муниципального)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27.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некоторых вопросах государственного контроля и надзора в финансово-бюджетной 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28.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32.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истекли, в упорядоченном состоянии поступают на хранение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соответствующий государственный или муниципальный архив.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VI. Рассмотрение обращения на заседании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35. Заседания комиссии могут проводиться в отсутствие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37.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о принятом решении направить гражданину письменное уведомление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39.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Положения о комиссиях).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43.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VII. Обязанность гражданина - бывшего государственного (муниципального) служащего сообщать работодателю о замещении им должности</w:t>
      </w:r>
      <w:r w:rsidR="00683DE2"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в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44. </w:t>
      </w:r>
      <w:proofErr w:type="gramStart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работ (оказание услуг), сообщать работодателю сведения о последнем месте своей службы.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гражданско-правовой) 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договор может быть заключен с таким гражданином только при наличии такого согласия.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условиях его отсутствия договор будет считаться заключенным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нарушением установленных правил заключения и подлежит прекращению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заключать до получения положительного решения комиссии.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государственной (муниципальной) службы требования о сообщении  работодателю сведений о последнем месте своей службы, влечет прекращение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целях исключения необходимости расторжения трудового (гражданско-правового) договора работодателю рекомендуется при приеме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работу гражданина убедиться, что при прохождении им государственной (муниципальной) службы он не замещал должности, включенные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50. 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муниципальной) 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службы обязан в десятидневный срок сообщать о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заключении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Выяснить у бывшего государственного (муниципального) служащего, включена ли замещаемая (замещаемые) ранее им должность (должности)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по запросу в федеральных государственных органах, органах государственной власти субъектов Российской Федерации и органах местного самоуправления,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Важными являются также сведения о дате увольнения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Если после увольнения гражданина с государственной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52. Правила сообщения работодателем о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53. Сообщение оформляется на бланке организации и подписывается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55.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с гражданином заключен трудовой договор, наряду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его непосредственно в государственный (муниципальный) орган с распиской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60. Заключение трудовых договоров о работе по совместительству допускается с неограниченным числом работодателей, если иное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Учитывая, что ограничения, налагаемые на гражданина, замещавшего должность государственной (муниципальной) службы, при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заключение трудового договора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о работе по совместительству с таким гражданином также влечет за собой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необходимость направления работодателем соответствующего уведомления</w:t>
      </w:r>
      <w:proofErr w:type="gramEnd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соответствии с Правилами при заключении трудового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63.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статьи 12 Федерального закона № 273-ФЗ, в отношении каждого заключенного договора.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XI. Ответственность работодателя за неисполнение обязанности сообщить</w:t>
      </w:r>
      <w:r w:rsid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64. </w:t>
      </w:r>
      <w:proofErr w:type="gramStart"/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с гражданином - бывшим государственным (муниципальным) служащим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</w:t>
      </w:r>
      <w:proofErr w:type="gramEnd"/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Федерации об административных правонарушениях (далее - КоАП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65. Такая ответственность предусмотрена статьей 19.29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размере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66. Согласно Обзору судебной практики по делам о привлечении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к административной ответственности, предусмотренной статьей 19.29 КоАП РФ, утвержденному Президиумом Верховного Суда Российской Федерации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работодатель не направил сообщение о заключении трудового договора (гражданско-правового) договора на выполнение в организации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замещении гражданином в течение предшествующих трудоустройству двух лет должности государственной (муниципальной) службы, включенной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соответствующий перечень, свидетельствует об отсутствии его вины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и, соответственно, состава административного правонарушения, предусмотренного статьей 19.29 КоАП РФ.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69.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Поступившее в государственный (муниципальный) орган уведомление коммерческой (некоммерческой) организации о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 трудового (гражданско-правового) договора рассматривается подразделением кадровой службы государственного (муниципального)* органа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вопрос о даче согласия гражданину на замещение им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72. Если ранее вопрос о даче согласия гражданину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рассматривался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такое согласие комиссией было дано, то рассмотрение уведомления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73. Уведомление работодателя рассматривается в том же порядке, что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</w:t>
      </w:r>
      <w:r w:rsidR="00905292">
        <w:rPr>
          <w:color w:val="000000"/>
          <w:sz w:val="28"/>
          <w:szCs w:val="28"/>
          <w:bdr w:val="none" w:sz="0" w:space="0" w:color="auto" w:frame="1"/>
        </w:rPr>
        <w:t>м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76.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78.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муниципального служащего,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на подразделения государственных (муниципальных)* органов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>пункта 6 Типового положения о подразделении федерального государственного органа по профилактике коррупционных 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мерах по 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государственному (муниципальному) органу необходимо информировать об этом прокуратуру по месту нахождения организации,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*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gramStart"/>
      <w:r w:rsidRPr="00FB5797">
        <w:rPr>
          <w:b/>
          <w:bCs/>
        </w:rPr>
        <w:t>КОТОРЫХ</w:t>
      </w:r>
      <w:proofErr w:type="gramEnd"/>
      <w:r w:rsidRPr="00FB5797">
        <w:rPr>
          <w:b/>
          <w:bCs/>
        </w:rPr>
        <w:t xml:space="preserve">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579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 xml:space="preserve"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 w:rsidRPr="00FB5797">
        <w:rPr>
          <w:rFonts w:ascii="Times New Roman" w:hAnsi="Times New Roman" w:cs="Times New Roman"/>
          <w:sz w:val="28"/>
          <w:szCs w:val="28"/>
        </w:rPr>
        <w:t xml:space="preserve">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34"/>
      <w:bookmarkEnd w:id="0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gramStart"/>
      <w:r w:rsidRPr="00FB5797">
        <w:rPr>
          <w:b/>
          <w:bCs/>
        </w:rPr>
        <w:t>КОТОРЫХ</w:t>
      </w:r>
      <w:proofErr w:type="gramEnd"/>
      <w:r w:rsidRPr="00FB5797">
        <w:rPr>
          <w:b/>
          <w:bCs/>
        </w:rPr>
        <w:t xml:space="preserve">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5797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или гражданско-правового договора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FB5797">
        <w:rPr>
          <w:rFonts w:ascii="Times New Roman" w:hAnsi="Times New Roman" w:cs="Times New Roman"/>
          <w:sz w:val="28"/>
          <w:szCs w:val="28"/>
        </w:rPr>
        <w:t xml:space="preserve">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B57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79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AF33EA">
        <w:rPr>
          <w:rFonts w:ascii="Times New Roman" w:hAnsi="Times New Roman" w:cs="Times New Roman"/>
          <w:sz w:val="28"/>
          <w:szCs w:val="28"/>
          <w:highlight w:val="yellow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AF33EA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пункте 5</w:t>
        </w:r>
      </w:hyperlink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5"/>
          <w:headerReference w:type="default" r:id="rId16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2" w:name="Par1"/>
      <w:bookmarkEnd w:id="2"/>
    </w:p>
    <w:p w:rsidR="00445069" w:rsidRPr="003E1C81" w:rsidRDefault="00445069" w:rsidP="00445069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Зарегистрировано в Минюсте России 1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N 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56492</w:t>
      </w:r>
    </w:p>
    <w:p w:rsidR="00445069" w:rsidRDefault="00445069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Default="004A4F93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Pr="003E1C81" w:rsidRDefault="004A4F93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МИНИСТЕРСТВО ТРУДА И СОЦИАЛЬНОЙ ЗАЩИТЫ РОССИЙСКОЙ ФЕДЕРАЦИИ</w:t>
      </w:r>
    </w:p>
    <w:p w:rsidR="00445069" w:rsidRDefault="00445069" w:rsidP="00445069">
      <w:pPr>
        <w:pStyle w:val="ConsPlusTitle"/>
        <w:jc w:val="both"/>
        <w:rPr>
          <w:color w:val="000000" w:themeColor="text1"/>
        </w:rPr>
      </w:pPr>
    </w:p>
    <w:p w:rsidR="004A4F93" w:rsidRPr="003E1C81" w:rsidRDefault="004A4F93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ПРИКАЗ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 xml:space="preserve">от </w:t>
      </w:r>
      <w:r w:rsidR="00583FFF">
        <w:rPr>
          <w:color w:val="000000" w:themeColor="text1"/>
        </w:rPr>
        <w:t>15</w:t>
      </w:r>
      <w:r w:rsidRPr="003E1C81">
        <w:rPr>
          <w:color w:val="000000" w:themeColor="text1"/>
        </w:rPr>
        <w:t xml:space="preserve"> октября 201</w:t>
      </w:r>
      <w:r w:rsidR="00583FFF">
        <w:rPr>
          <w:color w:val="000000" w:themeColor="text1"/>
        </w:rPr>
        <w:t>9 г. N 669</w:t>
      </w:r>
      <w:r w:rsidRPr="003E1C81">
        <w:rPr>
          <w:color w:val="000000" w:themeColor="text1"/>
        </w:rPr>
        <w:t>н</w:t>
      </w:r>
    </w:p>
    <w:p w:rsidR="00445069" w:rsidRDefault="00445069" w:rsidP="00445069">
      <w:pPr>
        <w:pStyle w:val="ConsPlusTitle"/>
        <w:jc w:val="both"/>
        <w:rPr>
          <w:color w:val="000000" w:themeColor="text1"/>
        </w:rPr>
      </w:pPr>
    </w:p>
    <w:p w:rsidR="00583FFF" w:rsidRDefault="00583FFF" w:rsidP="00445069">
      <w:pPr>
        <w:pStyle w:val="ConsPlusTitle"/>
        <w:jc w:val="both"/>
        <w:rPr>
          <w:color w:val="000000" w:themeColor="text1"/>
        </w:rPr>
      </w:pPr>
    </w:p>
    <w:p w:rsidR="00583FFF" w:rsidRPr="003E1C81" w:rsidRDefault="00583FFF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ОБ УТВЕРЖДЕНИИ ПЕРЕЧНЯ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ДОЛЖНОСТЕЙ ФЕДЕРАЛЬНОЙ ГОСУДАРСТВЕННОЙ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ГРАЖДАНСКОЙ СЛУЖБЫ МИНИСТЕРСТВА ТРУДА И СОЦИАЛЬНОЙ ЗАЩИТЫ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РОССИЙСКОЙ ФЕДЕРАЦИИ, ПРИ ЗАМЕЩЕНИИ КОТОРЫХ ФЕДЕРАЛЬНЫЕ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ГОСУДАРСТВЕННЫЕ ГРАЖДАНСКИЕ СЛУЖАЩИЕ ОБЯЗАНЫ ПРЕДСТАВЛЯТЬ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СВЕДЕНИЯ О СВОИХ ДОХОДАХ,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ОБ ИМУЩЕСТВЕ И ОБЯЗАТЕЛЬСТВАХ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ИМУЩЕСТВЕННОГО ХАРАКТЕРА,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А ТАКЖЕ СВЕДЕНИЯ О ДОХОДАХ,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ОБ ИМУЩЕСТВЕ И ОБЯЗАТЕЛЬСТВАХ ИМУЩЕСТВЕННОГО ХАРАКТЕРА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СВОИХ СУПРУГИ (СУПРУГА) И НЕСОВЕРШЕННОЛЕТНИХ ДЕТЕЙ</w:t>
      </w:r>
    </w:p>
    <w:p w:rsidR="00445069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Pr="003E1C81" w:rsidRDefault="004A4F93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соответствии со статьей 8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2018, N 24, ст. 3400), указами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</w:t>
      </w:r>
      <w:proofErr w:type="gramEnd"/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Start"/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Российской Федерации, 2009, N 21, ст. 2542; 2018, N 28, ст. 4198) 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 2019, N 6, ст. 515), приказываю:</w:t>
      </w:r>
      <w:proofErr w:type="gramEnd"/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</w:t>
      </w:r>
      <w:proofErr w:type="gramStart"/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Утвердить прилагаемый перечень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2. Руководителям структурных подразделений Министерства труда и социальной защиты Российской Федерации ознакомить с Перечнем федеральных государственных гражданских служащих вверенных им структурных подразделений.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</w:t>
      </w:r>
      <w:proofErr w:type="gramStart"/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Признать утратившим силу приказ Министерства труда и социальной защиты Российской Федерации от 29 октября 2018 г. N 673н "Об утверждении перечня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Start"/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обязательствах</w:t>
      </w:r>
      <w:proofErr w:type="gramEnd"/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имущественного характера своих супруги (супруга) и несовершеннолетних детей" (зарегистрирован Министерством юстиции Российской Федерации 15 ноября 2018 г., регистрационный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N 52698).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Министр</w:t>
      </w:r>
    </w:p>
    <w:p w:rsidR="00445069" w:rsidRPr="003E1C81" w:rsidRDefault="00583FFF" w:rsidP="00583F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М.А.ТОПИЛИН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C81" w:rsidRDefault="003E1C81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E1C81" w:rsidSect="00445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FFF" w:rsidRPr="00583FFF" w:rsidRDefault="00583FFF" w:rsidP="00583F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от 15 октября 2019 г. № 669н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  <w:bookmarkStart w:id="3" w:name="P37"/>
      <w:bookmarkEnd w:id="3"/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ПЕРЕЧЕНЬ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ДОЛЖНОСТЕЙ ФЕДЕРАЛЬНОЙ ГОСУДАРСТВЕННОЙ ГРАЖДАНСКОЙ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СЛУЖБЫ МИНИСТЕРСТВА ТРУДА И СОЦИАЛЬНОЙ ЗАЩИТЫ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proofErr w:type="gramStart"/>
      <w:r w:rsidRPr="00583FFF">
        <w:t>РОССИЙСКОЙ ФЕДЕРАЦИИ, ПРИ ЗАМЕЩЕНИИ КОТОРЫХ ФЕДЕРАЛЬНЫЕ</w:t>
      </w:r>
      <w:proofErr w:type="gramEnd"/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ГОСУДАРСТВЕННЫЕ ГРАЖДАНСКИЕ СЛУЖАЩИЕ ОБЯЗАНЫ ПРЕДСТАВЛЯТЬ</w:t>
      </w:r>
      <w:r>
        <w:t xml:space="preserve"> </w:t>
      </w:r>
      <w:r w:rsidRPr="00583FFF">
        <w:t>СВЕДЕНИЯ О СВОИХ ДОХОДАХ, ОБ ИМУЩЕСТВЕ И ОБЯЗАТЕЛЬСТВАХ</w:t>
      </w:r>
      <w:r>
        <w:t xml:space="preserve"> </w:t>
      </w:r>
      <w:r w:rsidRPr="00583FFF">
        <w:t>ИМУЩЕСТВЕННОГО ХАРАКТЕРА, А ТАКЖЕ СВЕДЕНИЯ О ДОХОДАХ,</w:t>
      </w:r>
      <w:r>
        <w:t xml:space="preserve"> </w:t>
      </w:r>
      <w:r w:rsidRPr="00583FFF">
        <w:t>ОБ ИМУЩЕСТВЕ И ОБЯЗАТЕЛЬСТВАХ ИМУЩЕСТВЕННОГО ХАРАКТЕРА</w:t>
      </w:r>
      <w:r>
        <w:t xml:space="preserve"> </w:t>
      </w:r>
      <w:r w:rsidRPr="00583FFF">
        <w:t xml:space="preserve">СВОИХ СУПРУГИ (СУПРУГА) </w:t>
      </w:r>
      <w:r>
        <w:br/>
      </w:r>
      <w:r w:rsidRPr="00583FFF">
        <w:t>И НЕСОВЕРШЕННОЛЕТНИХ ДЕТЕЙ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1. Департамент комплексного анализа и прогнозирования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координации программ и научных исследований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 труду и социальной защите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2. Департамент демографической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социальной защиты населения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входят вопросы финансирования расходных обязатель</w:t>
      </w:r>
      <w:proofErr w:type="gramStart"/>
      <w:r w:rsidRPr="00583FF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83FFF">
        <w:rPr>
          <w:rFonts w:ascii="Times New Roman" w:hAnsi="Times New Roman" w:cs="Times New Roman"/>
          <w:sz w:val="28"/>
          <w:szCs w:val="28"/>
        </w:rPr>
        <w:t>и создании системы долговременного ухода)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демографической политики и вопросов гендерного равенства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обеспечения мер социальной поддержки семей с детьми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по выработке государственной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в сфере социальной защиты отдельных категорий граждан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взаимодействия с региональными органами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неправительственными организациями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социальной защиты ветеранов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осуществления приема и проверки счетов и актов о выполнении транспортными компаниями обязательств по государственному контракту на оказание услуг по перевозке граждан - получателей социальной услуги железнодорожным транспортом)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социального обслуживания граждан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финансового обеспечения предоставления гражданам государственной социальной помощи в виде набора социальных услуг)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реализации проектов в сфере социальной поддержки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граждан старшего поколения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 xml:space="preserve">Консультант (в должностные обязанности которого входят вопросы </w:t>
      </w:r>
      <w:proofErr w:type="gramStart"/>
      <w:r w:rsidRPr="00583FFF">
        <w:rPr>
          <w:rFonts w:ascii="Times New Roman" w:hAnsi="Times New Roman" w:cs="Times New Roman"/>
          <w:sz w:val="28"/>
          <w:szCs w:val="28"/>
        </w:rPr>
        <w:t>выплаты единовременного денежного поощрения лучших работников системы социального обслуживания</w:t>
      </w:r>
      <w:proofErr w:type="gramEnd"/>
      <w:r w:rsidRPr="00583FFF">
        <w:rPr>
          <w:rFonts w:ascii="Times New Roman" w:hAnsi="Times New Roman" w:cs="Times New Roman"/>
          <w:sz w:val="28"/>
          <w:szCs w:val="28"/>
        </w:rPr>
        <w:t>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3. Департамент по делам инвалидов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методологии разработки и реализации программ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реабилитации и социальной интеграции инвалидов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развития сети подведомственных организаций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 xml:space="preserve">Отдел политики в сфере обеспечения инвалидов </w:t>
      </w:r>
      <w:proofErr w:type="gramStart"/>
      <w:r w:rsidRPr="00583FFF">
        <w:rPr>
          <w:sz w:val="28"/>
          <w:szCs w:val="28"/>
        </w:rPr>
        <w:t>техническими</w:t>
      </w:r>
      <w:proofErr w:type="gramEnd"/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средствами реабилитации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медико-социальной экспертизы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реабилитации инвалидов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методического обеспечения деятельности органов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 xml:space="preserve">государственной власти по выполнению </w:t>
      </w:r>
      <w:proofErr w:type="gramStart"/>
      <w:r w:rsidRPr="00583FFF">
        <w:rPr>
          <w:sz w:val="28"/>
          <w:szCs w:val="28"/>
        </w:rPr>
        <w:t>международно-правовых</w:t>
      </w:r>
      <w:proofErr w:type="gramEnd"/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актов в сфере социальной защиты инвалидов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социальной защиты граждан, пострадавших в результате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чрезвычайных ситуаций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4. Департамент оплаты труда, трудовых отношений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социального партнерства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участие в подготовке решений о распределении (перераспределении) бюджетных ассигнований в виде субсидий и в планировании бюджетных расходов по вопросам развития квалификаций и разработки профессиональных стандартов, государственных заданий федеральному государственному бюджетному учреждению "Всероссийский научно-исследовательский институт труда" Министерства труда и социальной защиты Российской Федерации)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оплаты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трудовых отношений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развития квалификаций и профессиональных стандартов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развития социального партнерства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и анализа трудовых отношений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5. Департамент условий 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стандартов безопасности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условий 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регулирования специальной оценки условий труда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6. Департамент занятости населения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разработка проектов нормативных правовых актов по определению потребности в привлечении в Российскую Федерацию иностранных работников, прибывающих в Российскую Федерацию на основании визы, в том числе по приоритетным профессионально-квалификационным группам,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</w:t>
      </w:r>
      <w:proofErr w:type="gramEnd"/>
      <w:r w:rsidRPr="00583FFF">
        <w:rPr>
          <w:rFonts w:ascii="Times New Roman" w:hAnsi="Times New Roman" w:cs="Times New Roman"/>
          <w:sz w:val="28"/>
          <w:szCs w:val="28"/>
        </w:rPr>
        <w:t xml:space="preserve"> в Российскую Федерацию на основании визы, разрешений на работу)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безработицы и прогнозирования рынка труда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трудовой миграции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7. Департамент государственной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в сфере государственной и муниципальной службы,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противодействия коррупции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политики в сфере государственной службы и методологии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развития муниципальной службы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противодействия коррупции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на государственной службе и в организациях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 xml:space="preserve">8. Департамент правовой, </w:t>
      </w:r>
      <w:proofErr w:type="gramStart"/>
      <w:r w:rsidRPr="00583FFF">
        <w:rPr>
          <w:sz w:val="28"/>
          <w:szCs w:val="28"/>
        </w:rPr>
        <w:t>законопроектной</w:t>
      </w:r>
      <w:proofErr w:type="gramEnd"/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международной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юридического сопровождения деятельности Министерства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международного сотрудничества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стран СНГ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9. Департамент информационных технологий и обеспечения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проектной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 xml:space="preserve">Референт (в должностные обязанности которого входит координация проектной </w:t>
      </w:r>
      <w:proofErr w:type="gramStart"/>
      <w:r w:rsidRPr="00583FF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83FFF">
        <w:rPr>
          <w:rFonts w:ascii="Times New Roman" w:hAnsi="Times New Roman" w:cs="Times New Roman"/>
          <w:sz w:val="28"/>
          <w:szCs w:val="28"/>
        </w:rPr>
        <w:t xml:space="preserve"> и выполнение которых предусматривает допуск к секретным сведениям)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государственных информационных систем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обеспечения проектной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безопасности информационных технологий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эксплуатации информационных систем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нормативного обеспечения информационных технологий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ресурсного обеспечения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10. Департамент организации бюджетных процедур планирования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финансового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планирования, санкционирования и финансового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обеспечения функций Министерства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организации бюджетных процедур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планирования и финансового обеспечения функций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подведомственных учреждений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 xml:space="preserve">Отдел организации бюджетных процедур и </w:t>
      </w:r>
      <w:proofErr w:type="gramStart"/>
      <w:r w:rsidRPr="00583FFF">
        <w:rPr>
          <w:sz w:val="28"/>
          <w:szCs w:val="28"/>
        </w:rPr>
        <w:t>финансового</w:t>
      </w:r>
      <w:proofErr w:type="gramEnd"/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обеспечения межбюджетных трансфертов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учета бюджетных обязательств, осуществления расчетов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платежей, формирования сводной бюджетной отчетности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бюджетного учета, формирования бюджетной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финансовой отчетности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 (в должностные обязанности которого входит участие в Комиссии по приемке и выбытию основных средств, нематериальных активов, списанию материальных запасов Министерства)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государственных закупок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имущественных отношений сети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подведомственных организаций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организации бюджетных процедур и координации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инвестиционных проектов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методологии, координации и учета реализации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инвестиционных проектов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внутреннего финансового аудита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11. Департамент управления делами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временное осуществление административно-хозяйственных функций)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организационного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административного и хозяйственного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государственной службы и кадров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профилактики коррупционных и иных правонарушений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bookmarkStart w:id="4" w:name="_GoBack"/>
      <w:bookmarkEnd w:id="4"/>
      <w:r w:rsidRPr="00583FFF">
        <w:rPr>
          <w:sz w:val="28"/>
          <w:szCs w:val="28"/>
        </w:rPr>
        <w:lastRenderedPageBreak/>
        <w:t>12. Отдел по защите государственной тайны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 xml:space="preserve">13. Отдел по организации мероприятий </w:t>
      </w:r>
      <w:proofErr w:type="gramStart"/>
      <w:r w:rsidRPr="00583FFF">
        <w:rPr>
          <w:sz w:val="28"/>
          <w:szCs w:val="28"/>
        </w:rPr>
        <w:t>по</w:t>
      </w:r>
      <w:proofErr w:type="gramEnd"/>
      <w:r w:rsidRPr="00583FFF">
        <w:rPr>
          <w:sz w:val="28"/>
          <w:szCs w:val="28"/>
        </w:rPr>
        <w:t xml:space="preserve"> мобилизационной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подготовке и мобилизации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445069" w:rsidRPr="003E1C81" w:rsidRDefault="00445069" w:rsidP="00583F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5069" w:rsidRPr="003E1C81" w:rsidSect="0044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142" w:rsidRDefault="00AF7142">
      <w:r>
        <w:separator/>
      </w:r>
    </w:p>
  </w:endnote>
  <w:endnote w:type="continuationSeparator" w:id="0">
    <w:p w:rsidR="00AF7142" w:rsidRDefault="00AF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142" w:rsidRDefault="00AF7142">
      <w:r>
        <w:separator/>
      </w:r>
    </w:p>
  </w:footnote>
  <w:footnote w:type="continuationSeparator" w:id="0">
    <w:p w:rsidR="00AF7142" w:rsidRDefault="00AF7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FF" w:rsidRDefault="002A5C4A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3F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FFF" w:rsidRDefault="00583F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FF" w:rsidRPr="00AD453F" w:rsidRDefault="002A5C4A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583FFF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F15FA4">
      <w:rPr>
        <w:rStyle w:val="a5"/>
        <w:noProof/>
        <w:sz w:val="22"/>
      </w:rPr>
      <w:t>2</w:t>
    </w:r>
    <w:r w:rsidRPr="00AD453F">
      <w:rPr>
        <w:rStyle w:val="a5"/>
        <w:sz w:val="22"/>
      </w:rPr>
      <w:fldChar w:fldCharType="end"/>
    </w:r>
  </w:p>
  <w:p w:rsidR="00583FFF" w:rsidRDefault="00583F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83A"/>
    <w:rsid w:val="00034BF8"/>
    <w:rsid w:val="00046E4E"/>
    <w:rsid w:val="00052A89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C363C"/>
    <w:rsid w:val="001D2C50"/>
    <w:rsid w:val="001D6312"/>
    <w:rsid w:val="001E4DC4"/>
    <w:rsid w:val="001E6A73"/>
    <w:rsid w:val="001F4E72"/>
    <w:rsid w:val="001F53B6"/>
    <w:rsid w:val="00204BF4"/>
    <w:rsid w:val="00214D76"/>
    <w:rsid w:val="0023240A"/>
    <w:rsid w:val="00233397"/>
    <w:rsid w:val="002477D9"/>
    <w:rsid w:val="00270DBB"/>
    <w:rsid w:val="00274F02"/>
    <w:rsid w:val="00280148"/>
    <w:rsid w:val="00282BE8"/>
    <w:rsid w:val="00284E8D"/>
    <w:rsid w:val="002A2F8E"/>
    <w:rsid w:val="002A5C4A"/>
    <w:rsid w:val="002C567E"/>
    <w:rsid w:val="002C58C7"/>
    <w:rsid w:val="002D1B1A"/>
    <w:rsid w:val="002E07B5"/>
    <w:rsid w:val="002F6BA1"/>
    <w:rsid w:val="002F78B1"/>
    <w:rsid w:val="00307942"/>
    <w:rsid w:val="00313677"/>
    <w:rsid w:val="00321AC4"/>
    <w:rsid w:val="00343D47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3E1C81"/>
    <w:rsid w:val="004106B6"/>
    <w:rsid w:val="0042072B"/>
    <w:rsid w:val="00434DED"/>
    <w:rsid w:val="0044293A"/>
    <w:rsid w:val="00445069"/>
    <w:rsid w:val="0045709A"/>
    <w:rsid w:val="00470C7E"/>
    <w:rsid w:val="00475980"/>
    <w:rsid w:val="00495471"/>
    <w:rsid w:val="004A3E82"/>
    <w:rsid w:val="004A4F93"/>
    <w:rsid w:val="004A5AB3"/>
    <w:rsid w:val="004C444E"/>
    <w:rsid w:val="004C645B"/>
    <w:rsid w:val="004D1D64"/>
    <w:rsid w:val="004D5748"/>
    <w:rsid w:val="004E2C22"/>
    <w:rsid w:val="00506644"/>
    <w:rsid w:val="00513A2E"/>
    <w:rsid w:val="00523BAE"/>
    <w:rsid w:val="00532399"/>
    <w:rsid w:val="00541C3E"/>
    <w:rsid w:val="005545D2"/>
    <w:rsid w:val="00583FFF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5025"/>
    <w:rsid w:val="006F7418"/>
    <w:rsid w:val="00721545"/>
    <w:rsid w:val="007372C5"/>
    <w:rsid w:val="0077283A"/>
    <w:rsid w:val="00791D4B"/>
    <w:rsid w:val="007A0DE3"/>
    <w:rsid w:val="007E1658"/>
    <w:rsid w:val="00807AC9"/>
    <w:rsid w:val="008105F8"/>
    <w:rsid w:val="00817048"/>
    <w:rsid w:val="00825010"/>
    <w:rsid w:val="00830A89"/>
    <w:rsid w:val="008505D6"/>
    <w:rsid w:val="0086333A"/>
    <w:rsid w:val="00874B64"/>
    <w:rsid w:val="008836E9"/>
    <w:rsid w:val="008C0119"/>
    <w:rsid w:val="008C3AA4"/>
    <w:rsid w:val="008C7BD6"/>
    <w:rsid w:val="008E04E0"/>
    <w:rsid w:val="008E19A0"/>
    <w:rsid w:val="00901084"/>
    <w:rsid w:val="00905292"/>
    <w:rsid w:val="00925F51"/>
    <w:rsid w:val="0093564F"/>
    <w:rsid w:val="00955D18"/>
    <w:rsid w:val="00981B17"/>
    <w:rsid w:val="0099056A"/>
    <w:rsid w:val="009B073C"/>
    <w:rsid w:val="009C2D7E"/>
    <w:rsid w:val="009D70B4"/>
    <w:rsid w:val="009F30F5"/>
    <w:rsid w:val="00A000B7"/>
    <w:rsid w:val="00A1204F"/>
    <w:rsid w:val="00A13F25"/>
    <w:rsid w:val="00A15621"/>
    <w:rsid w:val="00A26235"/>
    <w:rsid w:val="00A27820"/>
    <w:rsid w:val="00A37961"/>
    <w:rsid w:val="00A442C5"/>
    <w:rsid w:val="00A523A2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33EA"/>
    <w:rsid w:val="00AF4D65"/>
    <w:rsid w:val="00AF7142"/>
    <w:rsid w:val="00B12863"/>
    <w:rsid w:val="00B1396C"/>
    <w:rsid w:val="00B510E7"/>
    <w:rsid w:val="00B55756"/>
    <w:rsid w:val="00B571EF"/>
    <w:rsid w:val="00B617A9"/>
    <w:rsid w:val="00B76FDA"/>
    <w:rsid w:val="00B938D2"/>
    <w:rsid w:val="00BA488E"/>
    <w:rsid w:val="00BC41C9"/>
    <w:rsid w:val="00BD5F86"/>
    <w:rsid w:val="00C036C6"/>
    <w:rsid w:val="00C05646"/>
    <w:rsid w:val="00C149EB"/>
    <w:rsid w:val="00C26167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D04ABD"/>
    <w:rsid w:val="00D2389C"/>
    <w:rsid w:val="00D42DAD"/>
    <w:rsid w:val="00D44DD3"/>
    <w:rsid w:val="00D62E17"/>
    <w:rsid w:val="00D75152"/>
    <w:rsid w:val="00D87E9D"/>
    <w:rsid w:val="00DB50B6"/>
    <w:rsid w:val="00DC6BBA"/>
    <w:rsid w:val="00DE640C"/>
    <w:rsid w:val="00DF1F89"/>
    <w:rsid w:val="00DF6A8C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B6CE0"/>
    <w:rsid w:val="00EC48CD"/>
    <w:rsid w:val="00ED7F1A"/>
    <w:rsid w:val="00F00D50"/>
    <w:rsid w:val="00F1241C"/>
    <w:rsid w:val="00F15FA4"/>
    <w:rsid w:val="00F23F20"/>
    <w:rsid w:val="00F40DFD"/>
    <w:rsid w:val="00F97805"/>
    <w:rsid w:val="00FB5797"/>
    <w:rsid w:val="00FC3B3A"/>
    <w:rsid w:val="00FC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34DE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4DED"/>
  </w:style>
  <w:style w:type="paragraph" w:customStyle="1" w:styleId="ConsPlusTitlePage">
    <w:name w:val="ConsPlusTitlePage"/>
    <w:rsid w:val="0044506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44EB2926CBF88E9432030CB4AFB4B67A6A6B4D98B79FBD7514B160186E99E4A3F010543D032C557Fo00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EB2926CBF88E9432030CB4AFB4B67A696B4C9EBA99BD7514B160186E99E4A3F010543D032C557Fo00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EB2926CBF88E9432030CB4AFB4B67A6A6B4B9AB79CBD7514B160186Eo909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EB2926CBF88E9432030CB4AFB4B67A696B4F9AB895BD7514B160186E99E4A3F010543Fo00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B2926CBF88E9432030CB4AFB4B67A696B4C9EBA99BD7514B160186E99E4A3F010543D032C557Fo00BL" TargetMode="External"/><Relationship Id="rId14" Type="http://schemas.openxmlformats.org/officeDocument/2006/relationships/hyperlink" Target="consultantplus://offline/ref=44EB2926CBF88E9432030CB4AFB4B67A696B4C9EBA99BD7514B160186E99E4A3F010543D032C557Fo00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3B5B-42F4-4463-8246-A686BA48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10994</Words>
  <Characters>62671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73518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User</cp:lastModifiedBy>
  <cp:revision>2</cp:revision>
  <cp:lastPrinted>2019-11-19T07:23:00Z</cp:lastPrinted>
  <dcterms:created xsi:type="dcterms:W3CDTF">2024-02-20T09:20:00Z</dcterms:created>
  <dcterms:modified xsi:type="dcterms:W3CDTF">2024-02-20T09:20:00Z</dcterms:modified>
</cp:coreProperties>
</file>